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31919" w:rsidRPr="00A31919" w:rsidRDefault="00A31919" w:rsidP="00A31919">
      <w:pPr>
        <w:shd w:val="clear" w:color="auto" w:fill="FFFFFF"/>
        <w:contextualSpacing/>
        <w:rPr>
          <w:b/>
          <w:bCs/>
          <w:color w:val="333333"/>
          <w:sz w:val="28"/>
          <w:szCs w:val="28"/>
        </w:rPr>
      </w:pPr>
      <w:bookmarkStart w:id="0" w:name="_GoBack"/>
      <w:r w:rsidRPr="00A31919">
        <w:rPr>
          <w:b/>
          <w:bCs/>
          <w:color w:val="333333"/>
          <w:sz w:val="28"/>
          <w:szCs w:val="28"/>
        </w:rPr>
        <w:t>Возврат денежных средств, по ошибке переведённых на чужую банковскую карту</w:t>
      </w:r>
    </w:p>
    <w:bookmarkEnd w:id="0"/>
    <w:p w:rsidR="00A31919" w:rsidRPr="00A31919" w:rsidRDefault="00A31919" w:rsidP="00A31919">
      <w:pPr>
        <w:shd w:val="clear" w:color="auto" w:fill="FFFFFF"/>
        <w:contextualSpacing/>
        <w:rPr>
          <w:color w:val="000000"/>
          <w:sz w:val="28"/>
          <w:szCs w:val="28"/>
        </w:rPr>
      </w:pPr>
      <w:r w:rsidRPr="00A31919">
        <w:rPr>
          <w:color w:val="000000"/>
          <w:sz w:val="28"/>
          <w:szCs w:val="28"/>
        </w:rPr>
        <w:t> </w:t>
      </w:r>
      <w:r w:rsidRPr="00A31919">
        <w:rPr>
          <w:color w:val="FFFFFF"/>
          <w:sz w:val="28"/>
          <w:szCs w:val="28"/>
        </w:rPr>
        <w:t>Текст</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Приобретенное за счёт другого лица без каких-либо на то оснований имущество является неосновательным обогащением и подлежит возврату.</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 xml:space="preserve">Правила, предусмотренные главой 60 </w:t>
      </w:r>
      <w:r>
        <w:rPr>
          <w:color w:val="333333"/>
          <w:sz w:val="28"/>
          <w:szCs w:val="28"/>
        </w:rPr>
        <w:t>ГК РФ</w:t>
      </w:r>
      <w:r w:rsidRPr="00A31919">
        <w:rPr>
          <w:color w:val="333333"/>
          <w:sz w:val="28"/>
          <w:szCs w:val="28"/>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(иных правовых актах), ни на сделке.</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Бремя доказывания наличия законных (договорных) оснований для приобретения и последующего удержания имущества возложено на ответчика.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Таким образом, получатель средств если не докажет, что получил перевод денег на правовых основаниях, обязан вернуть их.</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данном случае расплачиваться за собственную невнимательность клиент банка не обязан.</w:t>
      </w:r>
    </w:p>
    <w:p w:rsidR="00D178AF" w:rsidRPr="00940C05" w:rsidRDefault="00D178AF" w:rsidP="00940C05">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56F27"/>
    <w:rsid w:val="00B726E4"/>
    <w:rsid w:val="00B809AD"/>
    <w:rsid w:val="00B81984"/>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2021-06-24T05:10:00Z</cp:lastPrinted>
  <dcterms:created xsi:type="dcterms:W3CDTF">2021-06-24T05:10:00Z</dcterms:created>
  <dcterms:modified xsi:type="dcterms:W3CDTF">2021-06-25T10:57:00Z</dcterms:modified>
</cp:coreProperties>
</file>